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 xml:space="preserve">РОЗДІЛ 15. </w:t>
      </w:r>
      <w:r w:rsidRPr="00BE1DFA">
        <w:rPr>
          <w:b/>
        </w:rPr>
        <w:t>ФІНАНСОВА ДІЯЛЬНІСТЬ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83"/>
        <w:gridCol w:w="284"/>
        <w:gridCol w:w="283"/>
        <w:gridCol w:w="284"/>
        <w:gridCol w:w="2551"/>
        <w:gridCol w:w="2126"/>
        <w:gridCol w:w="1737"/>
      </w:tblGrid>
      <w:tr w:rsidR="00567D59" w:rsidRPr="00BE1DFA" w:rsidTr="00EA7E13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:rsidTr="00EA7E13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 xml:space="preserve">тання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 xml:space="preserve">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</w:t>
            </w:r>
            <w:r w:rsidR="0061717C">
              <w:rPr>
                <w:sz w:val="24"/>
                <w:szCs w:val="24"/>
              </w:rPr>
              <w:t xml:space="preserve"> отриманих як плата за послуги 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</w:t>
            </w:r>
            <w:r w:rsidR="0061717C">
              <w:rPr>
                <w:sz w:val="24"/>
                <w:szCs w:val="24"/>
              </w:rPr>
              <w:t>до звіту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A13FC4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CD56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18"/>
              <w:gridCol w:w="727"/>
            </w:tblGrid>
            <w:tr w:rsidR="001D3F01" w:rsidRPr="00BE1DFA" w:rsidTr="00A82FFD">
              <w:trPr>
                <w:trHeight w:val="199"/>
              </w:trPr>
              <w:tc>
                <w:tcPr>
                  <w:tcW w:w="818" w:type="dxa"/>
                </w:tcPr>
                <w:p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1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Т.В.,</w:t>
            </w:r>
            <w:r w:rsidRPr="00BE1DFA">
              <w:rPr>
                <w:sz w:val="24"/>
                <w:szCs w:val="24"/>
              </w:rPr>
              <w:t xml:space="preserve">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</w:t>
            </w:r>
            <w:r w:rsidRPr="00BE1DFA">
              <w:rPr>
                <w:sz w:val="24"/>
                <w:szCs w:val="24"/>
              </w:rPr>
              <w:lastRenderedPageBreak/>
              <w:t>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B86B5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00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</w:t>
            </w:r>
            <w:r>
              <w:rPr>
                <w:sz w:val="24"/>
                <w:szCs w:val="24"/>
              </w:rPr>
              <w:t xml:space="preserve">22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Баланс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фінансові результати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2-дс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0005A2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334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</w:t>
            </w:r>
            <w:r>
              <w:rPr>
                <w:sz w:val="24"/>
                <w:szCs w:val="24"/>
                <w:lang w:val="ru-RU"/>
              </w:rPr>
              <w:t>арківської обласної державної адміністрації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Default="001D3F01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закупівель ”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1D3F01" w:rsidRDefault="001D3F01" w:rsidP="00F73068">
            <w:pPr>
              <w:rPr>
                <w:sz w:val="24"/>
                <w:szCs w:val="24"/>
                <w:lang w:val="ru-RU"/>
              </w:rPr>
            </w:pPr>
          </w:p>
          <w:p w:rsidR="001D3F01" w:rsidRPr="00BE1DFA" w:rsidRDefault="001D3F01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Біляєва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F01" w:rsidRPr="00BE1DFA" w:rsidRDefault="001D3F01" w:rsidP="00334CF7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>
              <w:rPr>
                <w:sz w:val="24"/>
                <w:szCs w:val="24"/>
              </w:rPr>
              <w:t>Щебетун В.В.</w:t>
            </w:r>
          </w:p>
          <w:p w:rsidR="001D3F01" w:rsidRPr="00BE1DFA" w:rsidRDefault="001D3F01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</w:t>
            </w:r>
            <w:r>
              <w:rPr>
                <w:sz w:val="24"/>
                <w:szCs w:val="24"/>
              </w:rPr>
              <w:t xml:space="preserve">21 </w:t>
            </w:r>
            <w:r w:rsidRPr="00BE1DFA">
              <w:rPr>
                <w:sz w:val="24"/>
                <w:szCs w:val="24"/>
              </w:rPr>
              <w:t>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34CF7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</w:t>
            </w:r>
            <w:r>
              <w:rPr>
                <w:sz w:val="24"/>
                <w:szCs w:val="24"/>
              </w:rPr>
              <w:t>22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Default="001D3F01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  <w:p w:rsidR="001D3F01" w:rsidRPr="00BE1DFA" w:rsidRDefault="001D3F01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 xml:space="preserve">23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01" w:rsidRPr="00BE1DFA" w:rsidRDefault="001D3F01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:rsidR="001434CE" w:rsidRDefault="001434CE" w:rsidP="00D07299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9F" w:rsidRDefault="0076369F" w:rsidP="005633C7">
      <w:r>
        <w:separator/>
      </w:r>
    </w:p>
  </w:endnote>
  <w:endnote w:type="continuationSeparator" w:id="0">
    <w:p w:rsidR="0076369F" w:rsidRDefault="0076369F" w:rsidP="0056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9F" w:rsidRDefault="0076369F" w:rsidP="005633C7">
      <w:r>
        <w:separator/>
      </w:r>
    </w:p>
  </w:footnote>
  <w:footnote w:type="continuationSeparator" w:id="0">
    <w:p w:rsidR="0076369F" w:rsidRDefault="0076369F" w:rsidP="0056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hideGrammaticalError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2EE4"/>
    <w:rsid w:val="001169A7"/>
    <w:rsid w:val="001434CE"/>
    <w:rsid w:val="00185441"/>
    <w:rsid w:val="001A5932"/>
    <w:rsid w:val="001B1AB5"/>
    <w:rsid w:val="001D0DC0"/>
    <w:rsid w:val="001D3F01"/>
    <w:rsid w:val="00216183"/>
    <w:rsid w:val="002359C1"/>
    <w:rsid w:val="00241FF7"/>
    <w:rsid w:val="002431A9"/>
    <w:rsid w:val="0024692C"/>
    <w:rsid w:val="00251E60"/>
    <w:rsid w:val="002532F8"/>
    <w:rsid w:val="00262FE9"/>
    <w:rsid w:val="002749DE"/>
    <w:rsid w:val="002963BF"/>
    <w:rsid w:val="002976F3"/>
    <w:rsid w:val="00297964"/>
    <w:rsid w:val="00297B17"/>
    <w:rsid w:val="002B6CCB"/>
    <w:rsid w:val="002C1EFD"/>
    <w:rsid w:val="002C4D11"/>
    <w:rsid w:val="002D049D"/>
    <w:rsid w:val="002D2280"/>
    <w:rsid w:val="002E1A6C"/>
    <w:rsid w:val="002E1B97"/>
    <w:rsid w:val="003068A6"/>
    <w:rsid w:val="003245B0"/>
    <w:rsid w:val="00331A3B"/>
    <w:rsid w:val="00334CF7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0549E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8509B"/>
    <w:rsid w:val="005B020D"/>
    <w:rsid w:val="005B1E56"/>
    <w:rsid w:val="005C4141"/>
    <w:rsid w:val="005F12F7"/>
    <w:rsid w:val="00607150"/>
    <w:rsid w:val="0061717C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6369F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47301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3FC4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86B57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06C1"/>
    <w:rsid w:val="00E4742B"/>
    <w:rsid w:val="00E856BF"/>
    <w:rsid w:val="00E8655F"/>
    <w:rsid w:val="00E914A5"/>
    <w:rsid w:val="00E91C65"/>
    <w:rsid w:val="00EA2301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4914"/>
    <w:rsid w:val="00F95B21"/>
    <w:rsid w:val="00F9635B"/>
    <w:rsid w:val="00FB2340"/>
    <w:rsid w:val="00FC7517"/>
    <w:rsid w:val="00FD7CF5"/>
    <w:rsid w:val="00FE029E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5FE-9423-4643-A8B9-71DEB3B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glav_buh</cp:lastModifiedBy>
  <cp:revision>12</cp:revision>
  <cp:lastPrinted>2020-07-31T08:03:00Z</cp:lastPrinted>
  <dcterms:created xsi:type="dcterms:W3CDTF">2015-07-30T11:46:00Z</dcterms:created>
  <dcterms:modified xsi:type="dcterms:W3CDTF">2021-07-08T11:24:00Z</dcterms:modified>
</cp:coreProperties>
</file>