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 xml:space="preserve">РОЗДІЛ 15. </w:t>
      </w:r>
      <w:r w:rsidRPr="00BE1DFA">
        <w:rPr>
          <w:b/>
        </w:rPr>
        <w:t>ФІНАНСОВА ДІЯЛЬНІСТЬ</w:t>
      </w: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83"/>
        <w:gridCol w:w="284"/>
        <w:gridCol w:w="283"/>
        <w:gridCol w:w="284"/>
        <w:gridCol w:w="2551"/>
        <w:gridCol w:w="2126"/>
        <w:gridCol w:w="1737"/>
      </w:tblGrid>
      <w:tr w:rsidR="00567D59" w:rsidRPr="00BE1DFA" w:rsidTr="00EA3A18">
        <w:trPr>
          <w:cantSplit/>
          <w:trHeight w:val="7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EA3A18" w:rsidRDefault="00567D59" w:rsidP="00BE1DFA">
            <w:pPr>
              <w:jc w:val="center"/>
              <w:rPr>
                <w:sz w:val="24"/>
                <w:szCs w:val="24"/>
              </w:rPr>
            </w:pPr>
            <w:r w:rsidRPr="00EA3A18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EA3A18" w:rsidRDefault="00567D59" w:rsidP="00BE1DFA">
            <w:pPr>
              <w:jc w:val="center"/>
              <w:rPr>
                <w:sz w:val="24"/>
                <w:szCs w:val="24"/>
              </w:rPr>
            </w:pPr>
            <w:r w:rsidRPr="00EA3A18">
              <w:rPr>
                <w:sz w:val="24"/>
                <w:szCs w:val="24"/>
              </w:rPr>
              <w:t>Зміст роботи</w:t>
            </w:r>
            <w:bookmarkStart w:id="0" w:name="_GoBack"/>
            <w:bookmarkEnd w:id="0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EA3A18" w:rsidRDefault="00567D59" w:rsidP="00BE1DFA">
            <w:pPr>
              <w:jc w:val="center"/>
              <w:rPr>
                <w:sz w:val="24"/>
                <w:szCs w:val="24"/>
              </w:rPr>
            </w:pPr>
            <w:r w:rsidRPr="00EA3A18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EA3A18" w:rsidRDefault="00567D59" w:rsidP="00BE1DFA">
            <w:pPr>
              <w:jc w:val="center"/>
              <w:rPr>
                <w:sz w:val="24"/>
                <w:szCs w:val="24"/>
              </w:rPr>
            </w:pPr>
            <w:r w:rsidRPr="00EA3A18">
              <w:rPr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EA3A18" w:rsidRDefault="00567D59" w:rsidP="00BE1DFA">
            <w:pPr>
              <w:jc w:val="center"/>
              <w:rPr>
                <w:sz w:val="24"/>
                <w:szCs w:val="24"/>
              </w:rPr>
            </w:pPr>
            <w:r w:rsidRPr="00EA3A18">
              <w:rPr>
                <w:sz w:val="24"/>
                <w:szCs w:val="24"/>
              </w:rPr>
              <w:t>Форма контролю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EA3A18" w:rsidRDefault="00567D59" w:rsidP="00BE1DFA">
            <w:pPr>
              <w:jc w:val="center"/>
              <w:rPr>
                <w:sz w:val="24"/>
                <w:szCs w:val="24"/>
              </w:rPr>
            </w:pPr>
            <w:r w:rsidRPr="00EA3A18">
              <w:rPr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:rsidTr="00EA3A18">
        <w:trPr>
          <w:cantSplit/>
          <w:trHeight w:val="3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EA3A18" w:rsidRDefault="00567D59">
            <w:pPr>
              <w:rPr>
                <w:sz w:val="24"/>
                <w:szCs w:val="24"/>
                <w:lang w:val="en-US"/>
              </w:rPr>
            </w:pPr>
            <w:r w:rsidRPr="00EA3A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EA3A18" w:rsidRDefault="00567D59">
            <w:pPr>
              <w:rPr>
                <w:sz w:val="24"/>
                <w:szCs w:val="24"/>
                <w:lang w:val="en-US"/>
              </w:rPr>
            </w:pPr>
            <w:r w:rsidRPr="00EA3A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EA3A18" w:rsidRDefault="00567D59">
            <w:pPr>
              <w:rPr>
                <w:sz w:val="24"/>
                <w:szCs w:val="24"/>
                <w:lang w:val="en-US"/>
              </w:rPr>
            </w:pPr>
            <w:r w:rsidRPr="00EA3A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EA3A18" w:rsidRDefault="00567D59">
            <w:pPr>
              <w:rPr>
                <w:sz w:val="24"/>
                <w:szCs w:val="24"/>
                <w:lang w:val="en-US"/>
              </w:rPr>
            </w:pPr>
            <w:r w:rsidRPr="00EA3A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 xml:space="preserve">тання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руху грошових коштів спеціального фонду в органах </w:t>
            </w:r>
            <w:r w:rsidRPr="00BE1DFA">
              <w:rPr>
                <w:sz w:val="24"/>
                <w:szCs w:val="24"/>
              </w:rPr>
              <w:lastRenderedPageBreak/>
              <w:t>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E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з</w:t>
            </w:r>
            <w:r w:rsidRPr="00BE1DFA">
              <w:rPr>
                <w:sz w:val="24"/>
                <w:szCs w:val="24"/>
              </w:rPr>
              <w:t>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6E5561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EE2E5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</w:t>
            </w:r>
            <w:r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6E5561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(місячна)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  <w:r>
              <w:rPr>
                <w:sz w:val="24"/>
                <w:szCs w:val="24"/>
              </w:rPr>
              <w:t>. Статистичні ціни. Договори та специфікації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1B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</w:t>
            </w:r>
            <w:r w:rsidR="000005A2">
              <w:rPr>
                <w:bCs/>
                <w:sz w:val="24"/>
                <w:szCs w:val="24"/>
              </w:rPr>
              <w:t>Форма №1-дс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звіту про фінансові результати (</w:t>
            </w:r>
            <w:r w:rsidR="000005A2">
              <w:rPr>
                <w:bCs/>
                <w:sz w:val="24"/>
                <w:szCs w:val="24"/>
              </w:rPr>
              <w:t>Форма №2-дс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>
              <w:rPr>
                <w:bCs/>
                <w:sz w:val="24"/>
                <w:szCs w:val="24"/>
              </w:rPr>
              <w:t xml:space="preserve">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</w:t>
            </w:r>
            <w:r w:rsidR="0061717C">
              <w:rPr>
                <w:sz w:val="24"/>
                <w:szCs w:val="24"/>
              </w:rPr>
              <w:t xml:space="preserve"> отриманих як плата за послуги 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</w:t>
            </w:r>
            <w:r w:rsidR="0061717C">
              <w:rPr>
                <w:sz w:val="24"/>
                <w:szCs w:val="24"/>
              </w:rPr>
              <w:t>до звіту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</w:t>
            </w:r>
            <w:r>
              <w:rPr>
                <w:bCs/>
                <w:sz w:val="24"/>
                <w:szCs w:val="24"/>
              </w:rPr>
              <w:t xml:space="preserve"> дебіторську </w:t>
            </w:r>
            <w:r w:rsidRPr="00BE1DFA">
              <w:rPr>
                <w:bCs/>
                <w:sz w:val="24"/>
                <w:szCs w:val="24"/>
              </w:rPr>
              <w:t xml:space="preserve"> заборгованості </w:t>
            </w:r>
            <w:r>
              <w:rPr>
                <w:bCs/>
                <w:sz w:val="24"/>
                <w:szCs w:val="24"/>
              </w:rPr>
              <w:t xml:space="preserve"> за видатками</w:t>
            </w:r>
            <w:r w:rsidRPr="00BE1D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0005A2" w:rsidP="006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B86B57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727"/>
            </w:tblGrid>
            <w:tr w:rsidR="0024692C" w:rsidRPr="00BE1DFA" w:rsidTr="00A82FFD">
              <w:trPr>
                <w:trHeight w:val="199"/>
              </w:trPr>
              <w:tc>
                <w:tcPr>
                  <w:tcW w:w="818" w:type="dxa"/>
                </w:tcPr>
                <w:p w:rsidR="0024692C" w:rsidRPr="00BE1DFA" w:rsidRDefault="0024692C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:rsidR="0024692C" w:rsidRPr="00BE1DFA" w:rsidRDefault="0024692C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EA7E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М.М.,</w:t>
            </w:r>
            <w:r w:rsidR="0024692C" w:rsidRPr="00BE1DFA">
              <w:rPr>
                <w:sz w:val="24"/>
                <w:szCs w:val="24"/>
              </w:rPr>
              <w:t xml:space="preserve"> Інвентаризаційна 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Інвентаризаційні описи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«Податкового розрахунку сум доходу, нарахованого (сплаченого) на користь фізичних осіб,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B6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</w:t>
            </w:r>
            <w:r w:rsidR="002963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 w:rsidR="002963BF">
              <w:rPr>
                <w:sz w:val="24"/>
                <w:szCs w:val="24"/>
              </w:rPr>
              <w:t>Баланс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 w:rsidR="002963BF">
              <w:rPr>
                <w:bCs/>
                <w:sz w:val="24"/>
                <w:szCs w:val="24"/>
              </w:rPr>
              <w:t>1</w:t>
            </w:r>
            <w:r w:rsidR="000005A2">
              <w:rPr>
                <w:bCs/>
                <w:sz w:val="24"/>
                <w:szCs w:val="24"/>
              </w:rPr>
              <w:t>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2963BF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2963B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фінансові результати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2-дс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2963BF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0005A2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</w:t>
            </w:r>
            <w:r>
              <w:rPr>
                <w:sz w:val="24"/>
                <w:szCs w:val="24"/>
              </w:rPr>
              <w:t>грошових коштів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3-дс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 w:rsidR="00D07299">
              <w:rPr>
                <w:sz w:val="24"/>
                <w:szCs w:val="24"/>
              </w:rPr>
              <w:t>про власний капітал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 xml:space="preserve">( форма № </w:t>
            </w:r>
            <w:r w:rsidR="00D07299">
              <w:rPr>
                <w:bCs/>
                <w:sz w:val="24"/>
                <w:szCs w:val="24"/>
              </w:rPr>
              <w:t>4-дс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</w:t>
            </w:r>
            <w:r w:rsidR="00D07299">
              <w:rPr>
                <w:sz w:val="24"/>
                <w:szCs w:val="24"/>
              </w:rPr>
              <w:t>приміток до річної фінансової звітності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 xml:space="preserve">(форма № </w:t>
            </w:r>
            <w:r w:rsidR="00D07299">
              <w:rPr>
                <w:bCs/>
                <w:sz w:val="24"/>
                <w:szCs w:val="24"/>
              </w:rPr>
              <w:t>5-дс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підтвердження залишків коштів на рахунках інших клієнтів ДКСУ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дебіторську заборгованість за видатками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2963BF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F" w:rsidRPr="00BE1DFA" w:rsidRDefault="002963BF" w:rsidP="009D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інвестиції, вибуття й амортизація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2963BF" w:rsidP="00E8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</w:t>
            </w:r>
            <w:r w:rsidR="002963BF">
              <w:rPr>
                <w:sz w:val="24"/>
                <w:szCs w:val="24"/>
                <w:lang w:val="ru-RU"/>
              </w:rPr>
              <w:t>арківської обласної державної адміністрації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Default="00B96369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закупівель ” та додатку до нього на поточний рік, згідно затвердженого кошторису та Державного класифікатора продукції та послуг </w:t>
            </w: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B96369" w:rsidRDefault="00B96369" w:rsidP="00F73068">
            <w:pPr>
              <w:rPr>
                <w:sz w:val="24"/>
                <w:szCs w:val="24"/>
                <w:lang w:val="ru-RU"/>
              </w:rPr>
            </w:pPr>
          </w:p>
          <w:p w:rsidR="00B96369" w:rsidRPr="00BE1DFA" w:rsidRDefault="00B96369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D07299" w:rsidP="00D0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тендерного комітету та</w:t>
            </w:r>
            <w:r w:rsidR="00B96369" w:rsidRPr="00BE1DFA">
              <w:rPr>
                <w:sz w:val="24"/>
                <w:szCs w:val="24"/>
              </w:rPr>
              <w:t xml:space="preserve"> </w:t>
            </w:r>
            <w:r w:rsidR="00B96369">
              <w:rPr>
                <w:sz w:val="24"/>
                <w:szCs w:val="24"/>
              </w:rPr>
              <w:t>Тендерний комітет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закупівель, додаток до річного плану закупівель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2963BF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</w:t>
            </w:r>
            <w:r w:rsidR="002963BF">
              <w:rPr>
                <w:sz w:val="24"/>
                <w:szCs w:val="24"/>
                <w:lang w:val="ru-RU"/>
              </w:rPr>
              <w:t>20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Pr="00BE1DFA">
              <w:rPr>
                <w:sz w:val="24"/>
                <w:szCs w:val="24"/>
              </w:rPr>
              <w:t xml:space="preserve">Я.С. </w:t>
            </w:r>
            <w:r w:rsidR="002963BF">
              <w:rPr>
                <w:sz w:val="24"/>
                <w:szCs w:val="24"/>
              </w:rPr>
              <w:t>Щебетун В.В.</w:t>
            </w:r>
          </w:p>
          <w:p w:rsidR="00B96369" w:rsidRPr="00BE1DFA" w:rsidRDefault="00B96369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201</w:t>
            </w:r>
            <w:r w:rsidR="002963BF">
              <w:rPr>
                <w:sz w:val="24"/>
                <w:szCs w:val="24"/>
              </w:rPr>
              <w:t xml:space="preserve">9 </w:t>
            </w:r>
            <w:r w:rsidRPr="00BE1DFA">
              <w:rPr>
                <w:sz w:val="24"/>
                <w:szCs w:val="24"/>
              </w:rPr>
              <w:t>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</w:t>
            </w:r>
            <w:r w:rsidR="002963BF">
              <w:rPr>
                <w:sz w:val="24"/>
                <w:szCs w:val="24"/>
              </w:rPr>
              <w:t>20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Default="00B96369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 w:rsidR="00297964">
              <w:rPr>
                <w:sz w:val="24"/>
                <w:szCs w:val="24"/>
              </w:rPr>
              <w:t xml:space="preserve"> </w:t>
            </w:r>
          </w:p>
          <w:p w:rsidR="00B96369" w:rsidRPr="00BE1DFA" w:rsidRDefault="00B96369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D0729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</w:tr>
      <w:tr w:rsidR="00D0729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 w:rsidR="002963BF"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EA3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</w:t>
            </w:r>
            <w:r>
              <w:rPr>
                <w:sz w:val="24"/>
                <w:szCs w:val="24"/>
              </w:rPr>
              <w:t>2</w:t>
            </w:r>
            <w:r w:rsidR="002963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:rsidR="001434CE" w:rsidRDefault="001434CE" w:rsidP="00D07299">
      <w:pPr>
        <w:tabs>
          <w:tab w:val="left" w:pos="567"/>
        </w:tabs>
      </w:pPr>
    </w:p>
    <w:sectPr w:rsidR="001434CE" w:rsidSect="00EA3A18">
      <w:pgSz w:w="16838" w:h="11906" w:orient="landscape"/>
      <w:pgMar w:top="1418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07" w:rsidRDefault="009C7507" w:rsidP="005633C7">
      <w:r>
        <w:separator/>
      </w:r>
    </w:p>
  </w:endnote>
  <w:endnote w:type="continuationSeparator" w:id="0">
    <w:p w:rsidR="009C7507" w:rsidRDefault="009C7507" w:rsidP="0056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07" w:rsidRDefault="009C7507" w:rsidP="005633C7">
      <w:r>
        <w:separator/>
      </w:r>
    </w:p>
  </w:footnote>
  <w:footnote w:type="continuationSeparator" w:id="0">
    <w:p w:rsidR="009C7507" w:rsidRDefault="009C7507" w:rsidP="0056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939"/>
    <w:rsid w:val="000005A2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2EE4"/>
    <w:rsid w:val="001169A7"/>
    <w:rsid w:val="001434CE"/>
    <w:rsid w:val="00185441"/>
    <w:rsid w:val="001A5932"/>
    <w:rsid w:val="001B1AB5"/>
    <w:rsid w:val="001D0DC0"/>
    <w:rsid w:val="00216183"/>
    <w:rsid w:val="002359C1"/>
    <w:rsid w:val="00241FF7"/>
    <w:rsid w:val="002431A9"/>
    <w:rsid w:val="0024692C"/>
    <w:rsid w:val="00251E60"/>
    <w:rsid w:val="002532F8"/>
    <w:rsid w:val="00262FE9"/>
    <w:rsid w:val="002749DE"/>
    <w:rsid w:val="002963BF"/>
    <w:rsid w:val="002976F3"/>
    <w:rsid w:val="00297964"/>
    <w:rsid w:val="00297B17"/>
    <w:rsid w:val="002B6CCB"/>
    <w:rsid w:val="002C1EFD"/>
    <w:rsid w:val="002C4D11"/>
    <w:rsid w:val="002D2280"/>
    <w:rsid w:val="002E1A6C"/>
    <w:rsid w:val="002E1B97"/>
    <w:rsid w:val="003068A6"/>
    <w:rsid w:val="003245B0"/>
    <w:rsid w:val="00331A3B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20312"/>
    <w:rsid w:val="00450657"/>
    <w:rsid w:val="0045088F"/>
    <w:rsid w:val="0046346D"/>
    <w:rsid w:val="00467A6C"/>
    <w:rsid w:val="00471BD1"/>
    <w:rsid w:val="00484771"/>
    <w:rsid w:val="00496DD7"/>
    <w:rsid w:val="004A4060"/>
    <w:rsid w:val="004A7D6C"/>
    <w:rsid w:val="004B5D89"/>
    <w:rsid w:val="004C1E2F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B020D"/>
    <w:rsid w:val="005B1E56"/>
    <w:rsid w:val="005C4141"/>
    <w:rsid w:val="005F12F7"/>
    <w:rsid w:val="00607150"/>
    <w:rsid w:val="0061717C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66820"/>
    <w:rsid w:val="007774D7"/>
    <w:rsid w:val="00777C5C"/>
    <w:rsid w:val="0079359C"/>
    <w:rsid w:val="007B440B"/>
    <w:rsid w:val="007B60A7"/>
    <w:rsid w:val="007B701D"/>
    <w:rsid w:val="007C3CA7"/>
    <w:rsid w:val="007D1910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90465"/>
    <w:rsid w:val="009B1FBC"/>
    <w:rsid w:val="009C27D7"/>
    <w:rsid w:val="009C27E4"/>
    <w:rsid w:val="009C66F2"/>
    <w:rsid w:val="009C7507"/>
    <w:rsid w:val="009D4F78"/>
    <w:rsid w:val="009E1145"/>
    <w:rsid w:val="009E5502"/>
    <w:rsid w:val="00A052FE"/>
    <w:rsid w:val="00A05859"/>
    <w:rsid w:val="00A159C8"/>
    <w:rsid w:val="00A239C6"/>
    <w:rsid w:val="00A24AE7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86B57"/>
    <w:rsid w:val="00B9181D"/>
    <w:rsid w:val="00B96369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07299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DF68E8"/>
    <w:rsid w:val="00E04527"/>
    <w:rsid w:val="00E13571"/>
    <w:rsid w:val="00E231B0"/>
    <w:rsid w:val="00E270D7"/>
    <w:rsid w:val="00E4742B"/>
    <w:rsid w:val="00E856BF"/>
    <w:rsid w:val="00E8655F"/>
    <w:rsid w:val="00E914A5"/>
    <w:rsid w:val="00E91C65"/>
    <w:rsid w:val="00EA3A18"/>
    <w:rsid w:val="00EA7E13"/>
    <w:rsid w:val="00EC3D34"/>
    <w:rsid w:val="00EC7593"/>
    <w:rsid w:val="00ED0A11"/>
    <w:rsid w:val="00EE2E54"/>
    <w:rsid w:val="00F31613"/>
    <w:rsid w:val="00F322B0"/>
    <w:rsid w:val="00F4711D"/>
    <w:rsid w:val="00F71D7F"/>
    <w:rsid w:val="00F73068"/>
    <w:rsid w:val="00F94914"/>
    <w:rsid w:val="00F95B21"/>
    <w:rsid w:val="00F9635B"/>
    <w:rsid w:val="00FB2340"/>
    <w:rsid w:val="00FC7517"/>
    <w:rsid w:val="00FD7CF5"/>
    <w:rsid w:val="00FE029E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218BB-2AD1-4708-B2C2-7B5CC360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6C1E-7E58-4828-A010-23A3E02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12573</Words>
  <Characters>7167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rozumniki</cp:lastModifiedBy>
  <cp:revision>9</cp:revision>
  <cp:lastPrinted>2019-05-27T10:27:00Z</cp:lastPrinted>
  <dcterms:created xsi:type="dcterms:W3CDTF">2015-07-30T11:46:00Z</dcterms:created>
  <dcterms:modified xsi:type="dcterms:W3CDTF">2019-07-30T13:06:00Z</dcterms:modified>
</cp:coreProperties>
</file>